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HOTĂRÂRE   Nr. 429/2008 din 16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aprilie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2008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 w:val="0"/>
          <w:sz w:val="24"/>
          <w:szCs w:val="24"/>
          <w:lang w:val="en-GB"/>
        </w:rPr>
      </w:pPr>
      <w:proofErr w:type="spellStart"/>
      <w:proofErr w:type="gramStart"/>
      <w:r w:rsidRPr="00086570">
        <w:rPr>
          <w:rFonts w:cs="Times New Roman"/>
          <w:b/>
          <w:noProof w:val="0"/>
          <w:sz w:val="24"/>
          <w:szCs w:val="24"/>
          <w:lang w:val="en-GB"/>
        </w:rPr>
        <w:t>privind</w:t>
      </w:r>
      <w:proofErr w:type="spellEnd"/>
      <w:proofErr w:type="gram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nivelul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alocaţiilor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hrană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consumurile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colective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unităţile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sanitare</w:t>
      </w:r>
      <w:proofErr w:type="spellEnd"/>
      <w:r w:rsidRPr="00086570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noProof w:val="0"/>
          <w:sz w:val="24"/>
          <w:szCs w:val="24"/>
          <w:lang w:val="en-GB"/>
        </w:rPr>
        <w:t>publice</w:t>
      </w:r>
      <w:proofErr w:type="spell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Text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vigoare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începând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cu data de 22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aprilie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2021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REALIZATOR: COMPANIA DE INFORMATICĂ NEAMŢ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Text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actualizat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prin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produsul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informatic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legislativ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LEX EXPERT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baza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actelor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normative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modificatoare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publicate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Monitorul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Oficial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al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României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Partea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I,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până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la 22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aprilie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2021.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 xml:space="preserve">    Act de </w:t>
      </w:r>
      <w:proofErr w:type="spellStart"/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>bază</w:t>
      </w:r>
      <w:proofErr w:type="spell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Cs w:val="0"/>
          <w:noProof w:val="0"/>
          <w:color w:val="008000"/>
          <w:sz w:val="24"/>
          <w:szCs w:val="24"/>
          <w:u w:val="single"/>
          <w:lang w:val="en-GB"/>
        </w:rPr>
        <w:t>#B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: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nr. </w:t>
      </w:r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429/2008,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publicată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Monitorul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Oficial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al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României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Partea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I, nr.</w:t>
      </w:r>
      <w:proofErr w:type="gram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329 din 25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aprilie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2008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 xml:space="preserve">    </w:t>
      </w:r>
      <w:proofErr w:type="spellStart"/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>Acte</w:t>
      </w:r>
      <w:proofErr w:type="spellEnd"/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>modificatoare</w:t>
      </w:r>
      <w:proofErr w:type="spell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Cs w:val="0"/>
          <w:noProof w:val="0"/>
          <w:color w:val="008000"/>
          <w:sz w:val="24"/>
          <w:szCs w:val="24"/>
          <w:u w:val="single"/>
          <w:lang w:val="en-GB"/>
        </w:rPr>
        <w:t>#M3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: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nr. 470/2021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Cs w:val="0"/>
          <w:noProof w:val="0"/>
          <w:color w:val="008000"/>
          <w:sz w:val="24"/>
          <w:szCs w:val="24"/>
          <w:u w:val="single"/>
          <w:lang w:val="en-GB"/>
        </w:rPr>
        <w:t>#M2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: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nr. 851/2018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b/>
          <w:bCs/>
          <w:iCs w:val="0"/>
          <w:noProof w:val="0"/>
          <w:color w:val="008000"/>
          <w:sz w:val="24"/>
          <w:szCs w:val="24"/>
          <w:u w:val="single"/>
          <w:lang w:val="en-GB"/>
        </w:rPr>
        <w:t>#M1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: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nr. 665/2016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Modificările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completările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efectuate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prin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actele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normative enumerate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mai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sus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sunt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scrise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cu font italic.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faţa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fiecărei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modificări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sau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completări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>este</w:t>
      </w:r>
      <w:proofErr w:type="spellEnd"/>
      <w:proofErr w:type="gram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indicat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actul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normativ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care 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efectuat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modificarea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sau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completarea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respectivă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forma </w:t>
      </w:r>
      <w:r w:rsidRPr="00086570">
        <w:rPr>
          <w:rFonts w:cs="Times New Roman"/>
          <w:b/>
          <w:bCs/>
          <w:i/>
          <w:noProof w:val="0"/>
          <w:color w:val="008000"/>
          <w:sz w:val="24"/>
          <w:szCs w:val="24"/>
          <w:u w:val="single"/>
          <w:lang w:val="en-GB"/>
        </w:rPr>
        <w:t>#M1</w:t>
      </w: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r w:rsidRPr="00086570">
        <w:rPr>
          <w:rFonts w:cs="Times New Roman"/>
          <w:b/>
          <w:bCs/>
          <w:i/>
          <w:noProof w:val="0"/>
          <w:color w:val="008000"/>
          <w:sz w:val="24"/>
          <w:szCs w:val="24"/>
          <w:u w:val="single"/>
          <w:lang w:val="en-GB"/>
        </w:rPr>
        <w:t>#M2</w:t>
      </w: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etc.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temeiul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108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Constituţia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României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republicată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al </w:t>
      </w:r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art. 6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Ordonanţa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nr. </w:t>
      </w:r>
      <w:proofErr w:type="gram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80/2001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privind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stabilirea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unor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normative de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cheltuieli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autorităţile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administraţiei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publice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instituţiile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publice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aprobată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cu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modificări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completări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prin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Legea</w:t>
      </w:r>
      <w:proofErr w:type="spell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nr.</w:t>
      </w:r>
      <w:proofErr w:type="gram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247/2002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cu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modificările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completările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ulterioare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,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086570">
        <w:rPr>
          <w:rFonts w:cs="Times New Roman"/>
          <w:b/>
          <w:bCs/>
          <w:iCs w:val="0"/>
          <w:noProof w:val="0"/>
          <w:sz w:val="24"/>
          <w:szCs w:val="24"/>
          <w:lang w:val="en-GB"/>
        </w:rPr>
        <w:t>Guvernul</w:t>
      </w:r>
      <w:proofErr w:type="spellEnd"/>
      <w:r w:rsidRPr="00086570">
        <w:rPr>
          <w:rFonts w:cs="Times New Roman"/>
          <w:b/>
          <w:bCs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b/>
          <w:bCs/>
          <w:iCs w:val="0"/>
          <w:noProof w:val="0"/>
          <w:sz w:val="24"/>
          <w:szCs w:val="24"/>
          <w:lang w:val="en-GB"/>
        </w:rPr>
        <w:t>României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adoptă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prezenta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hotărâre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.</w:t>
      </w:r>
      <w:proofErr w:type="gram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ART. 1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Începând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cu </w:t>
      </w:r>
      <w:proofErr w:type="spellStart"/>
      <w:proofErr w:type="gram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luna</w:t>
      </w:r>
      <w:proofErr w:type="spellEnd"/>
      <w:proofErr w:type="gram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mai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2008,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nivelul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alocaţiilor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hrană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consumurile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colective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unităţile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sanitare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publice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este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cel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prevăzut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anexa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care face parte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integrantă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prezenta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hotărâre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.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ART. 2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data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intrării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vigoare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a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prezentei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hotărâri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se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abrogă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Hotărârea</w:t>
      </w:r>
      <w:proofErr w:type="spell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Guvernului</w:t>
      </w:r>
      <w:proofErr w:type="spell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nr.</w:t>
      </w:r>
      <w:proofErr w:type="gramEnd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086570">
        <w:rPr>
          <w:rFonts w:cs="Times New Roman"/>
          <w:iCs w:val="0"/>
          <w:noProof w:val="0"/>
          <w:color w:val="008000"/>
          <w:sz w:val="24"/>
          <w:szCs w:val="24"/>
          <w:u w:val="single"/>
          <w:lang w:val="en-GB"/>
        </w:rPr>
        <w:t>1.916/2006</w:t>
      </w:r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privind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nivelul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alocaţiilor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hrană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consumurile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colective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unităţile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sanitare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publice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creşe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publicată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Monitorul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Oficial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al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României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Partea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I, nr.</w:t>
      </w:r>
      <w:proofErr w:type="gram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</w:t>
      </w:r>
      <w:proofErr w:type="gram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1.050 din 29 </w:t>
      </w:r>
      <w:proofErr w:type="spellStart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>decembrie</w:t>
      </w:r>
      <w:proofErr w:type="spellEnd"/>
      <w:r w:rsidRPr="00086570">
        <w:rPr>
          <w:rFonts w:cs="Times New Roman"/>
          <w:iCs w:val="0"/>
          <w:noProof w:val="0"/>
          <w:sz w:val="24"/>
          <w:szCs w:val="24"/>
          <w:lang w:val="en-GB"/>
        </w:rPr>
        <w:t xml:space="preserve"> 2006.</w:t>
      </w:r>
      <w:proofErr w:type="gram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</w:t>
      </w:r>
      <w:r w:rsidRPr="00086570">
        <w:rPr>
          <w:rFonts w:cs="Times New Roman"/>
          <w:b/>
          <w:bCs/>
          <w:i/>
          <w:noProof w:val="0"/>
          <w:sz w:val="24"/>
          <w:szCs w:val="24"/>
          <w:lang w:val="en-GB"/>
        </w:rPr>
        <w:t>NOTĂ: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Reproducem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mai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>jos</w:t>
      </w:r>
      <w:proofErr w:type="spellEnd"/>
      <w:proofErr w:type="gram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prevederile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r w:rsidRPr="00086570">
        <w:rPr>
          <w:rFonts w:cs="Times New Roman"/>
          <w:i/>
          <w:noProof w:val="0"/>
          <w:color w:val="008000"/>
          <w:sz w:val="24"/>
          <w:szCs w:val="24"/>
          <w:u w:val="single"/>
          <w:lang w:val="en-GB"/>
        </w:rPr>
        <w:t>art. II</w:t>
      </w: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Guvernului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nr. </w:t>
      </w:r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>470/2021 (</w:t>
      </w:r>
      <w:r w:rsidRPr="00086570">
        <w:rPr>
          <w:rFonts w:cs="Times New Roman"/>
          <w:b/>
          <w:bCs/>
          <w:i/>
          <w:noProof w:val="0"/>
          <w:color w:val="008000"/>
          <w:sz w:val="24"/>
          <w:szCs w:val="24"/>
          <w:u w:val="single"/>
          <w:lang w:val="en-GB"/>
        </w:rPr>
        <w:t>#M3</w:t>
      </w:r>
      <w:r w:rsidRPr="00086570">
        <w:rPr>
          <w:rFonts w:cs="Times New Roman"/>
          <w:i/>
          <w:noProof w:val="0"/>
          <w:sz w:val="24"/>
          <w:szCs w:val="24"/>
          <w:lang w:val="en-GB"/>
        </w:rPr>
        <w:t>).</w:t>
      </w:r>
      <w:proofErr w:type="gram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"ART. II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(1)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termen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30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zile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la data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intrării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vigoare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prezentei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unităţile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sanitare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publice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au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obligaţia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afişa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pagina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oficială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internet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nivelul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alocaţiei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hrană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stabilit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consumurile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colective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precum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orice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modificare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acestuia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.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lastRenderedPageBreak/>
        <w:t xml:space="preserve">    (2)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Informaţiile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prevăzute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la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alin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. </w:t>
      </w:r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(1) se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comunică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Ministerului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Sănătăţii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."</w:t>
      </w:r>
      <w:proofErr w:type="gramEnd"/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 w:val="0"/>
          <w:noProof w:val="0"/>
          <w:sz w:val="28"/>
          <w:szCs w:val="28"/>
          <w:lang w:val="en-GB"/>
        </w:rPr>
      </w:pP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 w:val="0"/>
          <w:noProof w:val="0"/>
          <w:sz w:val="28"/>
          <w:szCs w:val="28"/>
          <w:lang w:val="en-GB"/>
        </w:rPr>
      </w:pPr>
      <w:r>
        <w:rPr>
          <w:rFonts w:ascii="Times New Roman" w:hAnsi="Times New Roman" w:cs="Times New Roman"/>
          <w:iCs w:val="0"/>
          <w:noProof w:val="0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iCs w:val="0"/>
          <w:noProof w:val="0"/>
          <w:color w:val="FF0000"/>
          <w:sz w:val="28"/>
          <w:szCs w:val="28"/>
          <w:u w:val="single"/>
          <w:lang w:val="en-GB"/>
        </w:rPr>
        <w:t>ANEXĂ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  <w:lang w:val="en-GB"/>
        </w:rPr>
      </w:pP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NIVELUL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alocaţiilor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hrană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consumurile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colective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sanitare</w:t>
      </w:r>
      <w:proofErr w:type="spellEnd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noProof w:val="0"/>
          <w:sz w:val="28"/>
          <w:szCs w:val="28"/>
          <w:lang w:val="en-GB"/>
        </w:rPr>
        <w:t>publice</w:t>
      </w:r>
      <w:proofErr w:type="spellEnd"/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  <w:lang w:val="en-GB"/>
        </w:rPr>
      </w:pP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    - 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lei/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</w:t>
      </w:r>
      <w:proofErr w:type="spellEnd"/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internat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>/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zi</w:t>
      </w:r>
      <w:proofErr w:type="spellEnd"/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 _____________________________________________________________________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TBC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şi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HIV/SIDA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adulţi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|      17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,6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TBC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şi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HIV/SIDA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|      16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hepatită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neoplazici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adulţi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|      16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hepatită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neoplazici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|      18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,0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diabet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adulţi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|      16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diabet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-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|      19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,2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arşi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   |      16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Alţi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adulţi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|      11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,0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Lăuze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          |      16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leprozerii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|      21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,9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Regim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hemodializă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|       9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,9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psihici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şi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psihici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internare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|      13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,2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noProof w:val="0"/>
          <w:lang w:val="en-GB"/>
        </w:rPr>
        <w:t>obligatorie</w:t>
      </w:r>
      <w:proofErr w:type="spellEnd"/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    |          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internaţi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staţionare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zi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|       7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,7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nou-născuţi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prematuri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maternităţi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sau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|      11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,0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compartimente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alimentaţi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artificial                    |          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nou-născuţi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prematuri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maternităţi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>/             |       5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,5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compartimente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alimentaţi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natural                       |          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0 - 3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ani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|      11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,0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Copii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3 - 16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ani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|      13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,2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Alocaţie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pentru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o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raţie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de 0,500 l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lapte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distribuit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prin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>|     3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,3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>*)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noProof w:val="0"/>
          <w:lang w:val="en-GB"/>
        </w:rPr>
        <w:t>unităţile</w:t>
      </w:r>
      <w:proofErr w:type="spellEnd"/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sanitare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|          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Însoţitori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ai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bolnavilor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internaţi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în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unităţi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noProof w:val="0"/>
          <w:lang w:val="en-GB"/>
        </w:rPr>
        <w:t>sanitare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|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      7,7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Bolnavi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internaţi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Institutul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Naţional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Gerontologie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>|      21</w:t>
      </w:r>
      <w:proofErr w:type="gramStart"/>
      <w:r>
        <w:rPr>
          <w:rFonts w:ascii="Courier New" w:hAnsi="Courier New" w:cs="Courier New"/>
          <w:i/>
          <w:noProof w:val="0"/>
          <w:lang w:val="en-GB"/>
        </w:rPr>
        <w:t>,3</w:t>
      </w:r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noProof w:val="0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noProof w:val="0"/>
          <w:lang w:val="en-GB"/>
        </w:rPr>
        <w:t>şi</w:t>
      </w:r>
      <w:proofErr w:type="spellEnd"/>
      <w:proofErr w:type="gramEnd"/>
      <w:r>
        <w:rPr>
          <w:rFonts w:ascii="Courier New" w:hAnsi="Courier New" w:cs="Courier New"/>
          <w:i/>
          <w:noProof w:val="0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noProof w:val="0"/>
          <w:lang w:val="en-GB"/>
        </w:rPr>
        <w:t>Geriatrie</w:t>
      </w:r>
      <w:proofErr w:type="spellEnd"/>
      <w:r>
        <w:rPr>
          <w:rFonts w:ascii="Courier New" w:hAnsi="Courier New" w:cs="Courier New"/>
          <w:i/>
          <w:noProof w:val="0"/>
          <w:lang w:val="en-GB"/>
        </w:rPr>
        <w:t xml:space="preserve">                                            |           |</w:t>
      </w:r>
    </w:p>
    <w:p w:rsidR="00086570" w:rsidRDefault="00086570" w:rsidP="00086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 w:val="0"/>
          <w:sz w:val="28"/>
          <w:szCs w:val="28"/>
          <w:lang w:val="en-GB"/>
        </w:rPr>
      </w:pPr>
      <w:r>
        <w:rPr>
          <w:rFonts w:ascii="Courier New" w:hAnsi="Courier New" w:cs="Courier New"/>
          <w:i/>
          <w:noProof w:val="0"/>
          <w:lang w:val="en-GB"/>
        </w:rPr>
        <w:t>|_________________________________________________________|___________|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lastRenderedPageBreak/>
        <w:t xml:space="preserve">    </w:t>
      </w:r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*) Se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acordă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completarea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alimentaţiei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naturale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iar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după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caz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alocaţia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nou-născutului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poate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beneficia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mama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acestuia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.</w:t>
      </w:r>
      <w:proofErr w:type="gramEnd"/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NOTĂ: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Nivelul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alocaţiilor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hrană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cuprinse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prezenta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anexă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poate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fi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majorat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astfel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: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a) </w:t>
      </w:r>
      <w:proofErr w:type="spellStart"/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>prin</w:t>
      </w:r>
      <w:proofErr w:type="spellEnd"/>
      <w:proofErr w:type="gram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hotărâri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ale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autorităţilor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deliberative ale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unităţilor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administrativ-teritoriale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pentru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spitalele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subordinea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acestora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cu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suportarea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către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acestea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din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bugetele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proprii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cheltuielilor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suplimentare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;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b) </w:t>
      </w:r>
      <w:proofErr w:type="gramStart"/>
      <w:r w:rsidRPr="00086570">
        <w:rPr>
          <w:rFonts w:cs="Times New Roman"/>
          <w:i/>
          <w:noProof w:val="0"/>
          <w:sz w:val="24"/>
          <w:szCs w:val="24"/>
          <w:lang w:val="en-GB"/>
        </w:rPr>
        <w:t>la</w:t>
      </w:r>
      <w:proofErr w:type="gram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solicitarea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persoanelor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fizice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beneficiare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care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vor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suporta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cheltuielile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suplimentare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corespunzătoare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>;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   c)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prin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decizia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conducătorului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unităţii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sanitare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cu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avizul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consiliului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administraţie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,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condiţiile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identificării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altor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surse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finanţare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decât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sumele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provenite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din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contractele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încheiate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cu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casele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asigurări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sănătate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şi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la </w:t>
      </w:r>
      <w:proofErr w:type="spellStart"/>
      <w:r w:rsidRPr="00086570">
        <w:rPr>
          <w:rFonts w:cs="Times New Roman"/>
          <w:i/>
          <w:noProof w:val="0"/>
          <w:sz w:val="24"/>
          <w:szCs w:val="24"/>
          <w:lang w:val="en-GB"/>
        </w:rPr>
        <w:t>bugetul</w:t>
      </w:r>
      <w:proofErr w:type="spellEnd"/>
      <w:r w:rsidRPr="00086570">
        <w:rPr>
          <w:rFonts w:cs="Times New Roman"/>
          <w:i/>
          <w:noProof w:val="0"/>
          <w:sz w:val="24"/>
          <w:szCs w:val="24"/>
          <w:lang w:val="en-GB"/>
        </w:rPr>
        <w:t xml:space="preserve"> de stat.</w:t>
      </w: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086570" w:rsidRPr="00086570" w:rsidRDefault="00086570" w:rsidP="0008657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 w:val="0"/>
          <w:noProof w:val="0"/>
          <w:sz w:val="24"/>
          <w:szCs w:val="24"/>
          <w:lang w:val="en-GB"/>
        </w:rPr>
      </w:pPr>
    </w:p>
    <w:p w:rsidR="00883BBA" w:rsidRDefault="00086570" w:rsidP="00086570">
      <w:r>
        <w:rPr>
          <w:rFonts w:ascii="Times New Roman" w:hAnsi="Times New Roman" w:cs="Times New Roman"/>
          <w:iCs w:val="0"/>
          <w:noProof w:val="0"/>
          <w:sz w:val="28"/>
          <w:szCs w:val="28"/>
          <w:lang w:val="en-GB"/>
        </w:rPr>
        <w:t xml:space="preserve">                              ---------------</w:t>
      </w:r>
    </w:p>
    <w:sectPr w:rsidR="00883BBA" w:rsidSect="0008657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570"/>
    <w:rsid w:val="00086570"/>
    <w:rsid w:val="00464954"/>
    <w:rsid w:val="006513F6"/>
    <w:rsid w:val="00883BBA"/>
    <w:rsid w:val="00A32B62"/>
    <w:rsid w:val="00C2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Calibri"/>
        <w:iCs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B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ANPIS7</dc:creator>
  <cp:keywords/>
  <dc:description/>
  <cp:lastModifiedBy>ANPIS7</cp:lastModifiedBy>
  <cp:revision>3</cp:revision>
  <cp:lastPrinted>2024-01-18T06:47:00Z</cp:lastPrinted>
  <dcterms:created xsi:type="dcterms:W3CDTF">2024-01-18T06:39:00Z</dcterms:created>
  <dcterms:modified xsi:type="dcterms:W3CDTF">2024-01-18T06:47:00Z</dcterms:modified>
</cp:coreProperties>
</file>